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20BAC30D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  <w:r w:rsidR="007430D3">
              <w:rPr>
                <w:szCs w:val="28"/>
              </w:rPr>
              <w:t xml:space="preserve"> ПРОЕКТ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921B1C4" w:rsidR="003A160B" w:rsidRPr="008E0A39" w:rsidRDefault="003A160B" w:rsidP="00165E45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14:paraId="58E8FCB6" w14:textId="2ECA120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37D984D8" w:rsidR="003A160B" w:rsidRPr="008E0A39" w:rsidRDefault="003A160B" w:rsidP="00842438">
                  <w:pPr>
                    <w:ind w:firstLine="0"/>
                    <w:rPr>
                      <w:szCs w:val="28"/>
                    </w:rPr>
                  </w:pP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265EEF3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>я на территории городского поселения рабочий поселок Мошково Мошковского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</w:t>
      </w:r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>я на территории городского поселения рабочий поселок Мошково Мошковского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49DE16C3" w:rsidR="00EA5B0E" w:rsidRDefault="0002413E" w:rsidP="00EA5B0E">
            <w:pPr>
              <w:ind w:firstLine="0"/>
              <w:jc w:val="right"/>
            </w:pPr>
            <w:r w:rsidRPr="0002413E">
              <w:t>Д.Б. Федосов</w:t>
            </w:r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3BBB4E88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r w:rsidR="00EE26AF" w:rsidRPr="00EE26AF">
        <w:rPr>
          <w:sz w:val="20"/>
        </w:rPr>
        <w:t>Галкова Оксана Алексеевна</w:t>
      </w:r>
    </w:p>
    <w:p w14:paraId="193A7F83" w14:textId="728EBE03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8-383-48-21-39</w:t>
      </w:r>
      <w:r w:rsidR="00A70FE3">
        <w:rPr>
          <w:sz w:val="20"/>
        </w:rPr>
        <w:t>1</w:t>
      </w:r>
    </w:p>
    <w:p w14:paraId="1FCEC2F6" w14:textId="58FA667C" w:rsidR="00E819F4" w:rsidRDefault="00E819F4" w:rsidP="00E819F4">
      <w:pPr>
        <w:ind w:left="4956" w:firstLine="708"/>
        <w:jc w:val="right"/>
      </w:pPr>
      <w:r>
        <w:lastRenderedPageBreak/>
        <w:t xml:space="preserve">Приложение 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3B0F734B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>на территории городского поселения рабочий поселок Мошково Мошковского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776EDF2F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</w:t>
      </w:r>
      <w:r w:rsidR="00C76D72">
        <w:rPr>
          <w:iCs/>
          <w:spacing w:val="1"/>
          <w:szCs w:val="28"/>
        </w:rPr>
        <w:t>4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03125FFA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</w:t>
      </w:r>
      <w:r w:rsidR="007430D3">
        <w:rPr>
          <w:rFonts w:eastAsia="Calibri"/>
          <w:szCs w:val="28"/>
          <w:lang w:eastAsia="en-US"/>
        </w:rPr>
        <w:t>, в 2021 году – 2 проверки</w:t>
      </w:r>
      <w:r w:rsidR="00D417A6">
        <w:rPr>
          <w:rFonts w:eastAsia="Calibri"/>
          <w:szCs w:val="28"/>
          <w:lang w:eastAsia="en-US"/>
        </w:rPr>
        <w:t>, в 2022 – 0 проверок</w:t>
      </w:r>
      <w:r w:rsidR="00C76D72">
        <w:rPr>
          <w:rFonts w:eastAsia="Calibri"/>
          <w:szCs w:val="28"/>
          <w:lang w:eastAsia="en-US"/>
        </w:rPr>
        <w:t>, в 2023 – 1 проверка</w:t>
      </w:r>
      <w:r w:rsidR="007430D3">
        <w:rPr>
          <w:rFonts w:eastAsia="Calibri"/>
          <w:szCs w:val="28"/>
          <w:lang w:eastAsia="en-US"/>
        </w:rPr>
        <w:t>.</w:t>
      </w:r>
    </w:p>
    <w:p w14:paraId="137B188E" w14:textId="462ED00A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</w:t>
      </w:r>
      <w:r w:rsidR="00C76D72">
        <w:rPr>
          <w:spacing w:val="1"/>
          <w:szCs w:val="28"/>
        </w:rPr>
        <w:t>5</w:t>
      </w:r>
      <w:r w:rsidRPr="00DB500A">
        <w:rPr>
          <w:spacing w:val="1"/>
          <w:szCs w:val="28"/>
        </w:rPr>
        <w:t xml:space="preserve">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D56319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0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0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r w:rsidR="00BD342A" w:rsidRPr="00BD342A">
        <w:rPr>
          <w:color w:val="000000"/>
          <w:szCs w:val="28"/>
        </w:rPr>
        <w:t>Мошковского</w:t>
      </w:r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4207F4A1" w:rsidR="00EE6FCE" w:rsidRPr="003B380F" w:rsidRDefault="00C53124" w:rsidP="00E819F4">
      <w:pPr>
        <w:ind w:firstLine="567"/>
        <w:rPr>
          <w:iCs/>
          <w:szCs w:val="28"/>
        </w:rPr>
      </w:pPr>
      <w:r>
        <w:rPr>
          <w:iCs/>
          <w:szCs w:val="28"/>
        </w:rPr>
        <w:t>в</w:t>
      </w:r>
      <w:r w:rsidR="00EE6FCE">
        <w:rPr>
          <w:iCs/>
          <w:szCs w:val="28"/>
        </w:rPr>
        <w:t>) объявление предостережения;</w:t>
      </w:r>
    </w:p>
    <w:p w14:paraId="2802BD62" w14:textId="38996798" w:rsidR="00E819F4" w:rsidRPr="003B380F" w:rsidRDefault="00C53124" w:rsidP="00E819F4">
      <w:pPr>
        <w:ind w:firstLine="567"/>
        <w:rPr>
          <w:iCs/>
          <w:szCs w:val="28"/>
        </w:rPr>
      </w:pPr>
      <w:r>
        <w:rPr>
          <w:iCs/>
          <w:szCs w:val="28"/>
        </w:rPr>
        <w:t>г</w:t>
      </w:r>
      <w:r w:rsidR="00E819F4" w:rsidRPr="003B380F">
        <w:rPr>
          <w:iCs/>
          <w:szCs w:val="28"/>
        </w:rPr>
        <w:t>) консультирование;</w:t>
      </w:r>
    </w:p>
    <w:p w14:paraId="0C28142C" w14:textId="4891ED95" w:rsidR="00E819F4" w:rsidRPr="003B380F" w:rsidRDefault="00C53124" w:rsidP="00EE6FCE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bookmarkStart w:id="1" w:name="_GoBack"/>
      <w:bookmarkEnd w:id="1"/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lastRenderedPageBreak/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77C4EF31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3650D416" w:rsidR="00B60345" w:rsidRPr="00B5315D" w:rsidRDefault="00EE26AF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29D2E2D2" w:rsidR="00B60345" w:rsidRPr="00B5315D" w:rsidRDefault="00EE26AF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046251F7" w:rsidR="00B60345" w:rsidRPr="00B5315D" w:rsidRDefault="00EE26AF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р.п.Мошково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Галкова О.А</w:t>
            </w:r>
            <w:r w:rsidR="00DF5371">
              <w:rPr>
                <w:rFonts w:eastAsia="Calibri"/>
                <w:sz w:val="22"/>
                <w:szCs w:val="22"/>
              </w:rPr>
              <w:t xml:space="preserve">. –  </w:t>
            </w:r>
            <w:r>
              <w:rPr>
                <w:rFonts w:eastAsia="Calibri"/>
                <w:sz w:val="22"/>
                <w:szCs w:val="22"/>
              </w:rPr>
              <w:t xml:space="preserve">ведущий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Объявление предостережений контролируемым лицам для целей принятия мер по </w:t>
            </w:r>
            <w:r w:rsidRPr="00B5315D">
              <w:rPr>
                <w:rFonts w:eastAsia="Calibri"/>
                <w:sz w:val="22"/>
                <w:szCs w:val="22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Галкова О.А. –  ведущий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2A3E411C" w:rsidR="00B60345" w:rsidRPr="00B5315D" w:rsidRDefault="00EE26AF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r>
              <w:rPr>
                <w:rFonts w:eastAsia="Calibri"/>
                <w:sz w:val="22"/>
                <w:szCs w:val="22"/>
              </w:rPr>
              <w:t>р.п.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304A1E18" w:rsidR="00B60345" w:rsidRPr="00B5315D" w:rsidRDefault="00EE26AF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EE26AF">
              <w:rPr>
                <w:rFonts w:eastAsia="Calibri"/>
                <w:sz w:val="22"/>
                <w:szCs w:val="22"/>
              </w:rPr>
              <w:t>Вохмина Анна Вячеславовна</w:t>
            </w:r>
            <w:r w:rsidR="00B60345">
              <w:rPr>
                <w:rFonts w:eastAsia="Calibri"/>
                <w:sz w:val="22"/>
                <w:szCs w:val="22"/>
              </w:rPr>
              <w:t xml:space="preserve">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</w:t>
            </w:r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768F" w14:textId="77777777" w:rsidR="009B0779" w:rsidRDefault="009B0779" w:rsidP="00791F5A">
      <w:r>
        <w:separator/>
      </w:r>
    </w:p>
  </w:endnote>
  <w:endnote w:type="continuationSeparator" w:id="0">
    <w:p w14:paraId="2127B6AC" w14:textId="77777777" w:rsidR="009B0779" w:rsidRDefault="009B077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D72C2" w14:textId="77777777" w:rsidR="009B0779" w:rsidRDefault="009B0779" w:rsidP="00791F5A">
      <w:r>
        <w:separator/>
      </w:r>
    </w:p>
  </w:footnote>
  <w:footnote w:type="continuationSeparator" w:id="0">
    <w:p w14:paraId="6B6F1B3E" w14:textId="77777777" w:rsidR="009B0779" w:rsidRDefault="009B077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430D3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9B077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413E"/>
    <w:rsid w:val="0003694A"/>
    <w:rsid w:val="00085650"/>
    <w:rsid w:val="00097D5D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1D4A3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5F5A4B"/>
    <w:rsid w:val="00615448"/>
    <w:rsid w:val="006204E9"/>
    <w:rsid w:val="00673F9A"/>
    <w:rsid w:val="006924A6"/>
    <w:rsid w:val="006A5119"/>
    <w:rsid w:val="006F1657"/>
    <w:rsid w:val="006F25B4"/>
    <w:rsid w:val="007149F2"/>
    <w:rsid w:val="0072069E"/>
    <w:rsid w:val="00725DC7"/>
    <w:rsid w:val="007314F5"/>
    <w:rsid w:val="007430D3"/>
    <w:rsid w:val="007448C4"/>
    <w:rsid w:val="007839B6"/>
    <w:rsid w:val="00791F5A"/>
    <w:rsid w:val="007C6A1C"/>
    <w:rsid w:val="007D4538"/>
    <w:rsid w:val="00801D18"/>
    <w:rsid w:val="00842438"/>
    <w:rsid w:val="008A0058"/>
    <w:rsid w:val="008B203A"/>
    <w:rsid w:val="008D6E35"/>
    <w:rsid w:val="008E0A39"/>
    <w:rsid w:val="009473A6"/>
    <w:rsid w:val="009838A4"/>
    <w:rsid w:val="00990325"/>
    <w:rsid w:val="009A78FA"/>
    <w:rsid w:val="009B0779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A7530"/>
    <w:rsid w:val="00AB0016"/>
    <w:rsid w:val="00AD2EFA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53124"/>
    <w:rsid w:val="00C63837"/>
    <w:rsid w:val="00C76D72"/>
    <w:rsid w:val="00CC5B00"/>
    <w:rsid w:val="00D01129"/>
    <w:rsid w:val="00D1272A"/>
    <w:rsid w:val="00D417A6"/>
    <w:rsid w:val="00D442A8"/>
    <w:rsid w:val="00D83EF1"/>
    <w:rsid w:val="00D8571D"/>
    <w:rsid w:val="00DB10BC"/>
    <w:rsid w:val="00DB3C8A"/>
    <w:rsid w:val="00DB4EC7"/>
    <w:rsid w:val="00DC7DA0"/>
    <w:rsid w:val="00DE66D8"/>
    <w:rsid w:val="00DE7148"/>
    <w:rsid w:val="00DF5371"/>
    <w:rsid w:val="00E04B74"/>
    <w:rsid w:val="00E04C5B"/>
    <w:rsid w:val="00E16E48"/>
    <w:rsid w:val="00E16F32"/>
    <w:rsid w:val="00E345C7"/>
    <w:rsid w:val="00E819F4"/>
    <w:rsid w:val="00EA5B0E"/>
    <w:rsid w:val="00EB5ABE"/>
    <w:rsid w:val="00EC66DD"/>
    <w:rsid w:val="00ED51FB"/>
    <w:rsid w:val="00EE26AF"/>
    <w:rsid w:val="00EE6FCE"/>
    <w:rsid w:val="00EF6C65"/>
    <w:rsid w:val="00F026AC"/>
    <w:rsid w:val="00F302CA"/>
    <w:rsid w:val="00F46BC5"/>
    <w:rsid w:val="00F67AD6"/>
    <w:rsid w:val="00F7383C"/>
    <w:rsid w:val="00FA1D00"/>
    <w:rsid w:val="00FE5229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1CBF-B9CD-4ABC-9453-07985779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278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11</cp:revision>
  <cp:lastPrinted>2021-12-23T01:59:00Z</cp:lastPrinted>
  <dcterms:created xsi:type="dcterms:W3CDTF">2022-09-29T05:29:00Z</dcterms:created>
  <dcterms:modified xsi:type="dcterms:W3CDTF">2024-10-07T04:20:00Z</dcterms:modified>
</cp:coreProperties>
</file>